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05" w:rsidRDefault="00D41A05" w:rsidP="00D41A05">
      <w:pPr>
        <w:spacing w:after="0"/>
        <w:jc w:val="both"/>
        <w:rPr>
          <w:rFonts w:cs="David" w:hint="cs"/>
          <w:sz w:val="24"/>
          <w:szCs w:val="24"/>
          <w:rtl/>
        </w:rPr>
      </w:pPr>
      <w:bookmarkStart w:id="0" w:name="_GoBack"/>
      <w:bookmarkEnd w:id="0"/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Pr="00D2722D" w:rsidRDefault="00D41A05" w:rsidP="00D41A05">
      <w:pPr>
        <w:jc w:val="center"/>
        <w:rPr>
          <w:rFonts w:cs="David"/>
          <w:b/>
          <w:bCs/>
          <w:color w:val="00B0F0"/>
          <w:sz w:val="40"/>
          <w:szCs w:val="40"/>
          <w:u w:val="single"/>
          <w:rtl/>
        </w:rPr>
      </w:pPr>
      <w:r>
        <w:rPr>
          <w:rFonts w:cs="David" w:hint="cs"/>
          <w:b/>
          <w:bCs/>
          <w:color w:val="00B0F0"/>
          <w:sz w:val="40"/>
          <w:szCs w:val="40"/>
          <w:rtl/>
        </w:rPr>
        <w:t xml:space="preserve">      </w:t>
      </w:r>
      <w:r w:rsidRPr="00D2722D">
        <w:rPr>
          <w:rFonts w:cs="David" w:hint="cs"/>
          <w:b/>
          <w:bCs/>
          <w:color w:val="00B0F0"/>
          <w:sz w:val="40"/>
          <w:szCs w:val="40"/>
          <w:u w:val="single"/>
          <w:rtl/>
        </w:rPr>
        <w:t xml:space="preserve">ד"ר שביט- טיפול בלמידה </w:t>
      </w:r>
    </w:p>
    <w:p w:rsidR="00D41A05" w:rsidRDefault="00D41A05" w:rsidP="00D41A05">
      <w:pPr>
        <w:spacing w:after="0"/>
        <w:jc w:val="center"/>
        <w:rPr>
          <w:rFonts w:cs="David"/>
          <w:b/>
          <w:bCs/>
          <w:color w:val="000000" w:themeColor="text1"/>
          <w:sz w:val="32"/>
          <w:szCs w:val="32"/>
          <w:u w:val="single"/>
          <w:rtl/>
        </w:rPr>
      </w:pPr>
    </w:p>
    <w:p w:rsidR="00D41A05" w:rsidRDefault="00D41A05" w:rsidP="00D41A05">
      <w:pPr>
        <w:spacing w:after="0"/>
        <w:jc w:val="center"/>
        <w:rPr>
          <w:rFonts w:cs="David"/>
          <w:b/>
          <w:bCs/>
          <w:color w:val="000000" w:themeColor="text1"/>
          <w:sz w:val="32"/>
          <w:szCs w:val="32"/>
          <w:u w:val="single"/>
          <w:rtl/>
        </w:rPr>
      </w:pPr>
    </w:p>
    <w:p w:rsidR="00D41A05" w:rsidRPr="00D2722D" w:rsidRDefault="00E02A24" w:rsidP="00D41A05">
      <w:pPr>
        <w:spacing w:after="0"/>
        <w:jc w:val="center"/>
        <w:rPr>
          <w:rFonts w:cs="David"/>
          <w:b/>
          <w:bCs/>
          <w:color w:val="000000" w:themeColor="text1"/>
          <w:sz w:val="32"/>
          <w:szCs w:val="32"/>
          <w:u w:val="single"/>
        </w:rPr>
      </w:pPr>
      <w:r>
        <w:rPr>
          <w:rFonts w:cs="David"/>
          <w:noProof/>
          <w:color w:val="000000" w:themeColor="text1"/>
          <w:sz w:val="32"/>
          <w:szCs w:val="32"/>
        </w:rPr>
        <w:pict>
          <v:oval id="_x0000_s1027" style="position:absolute;left:0;text-align:left;margin-left:30.2pt;margin-top:69.9pt;width:314.3pt;height:327.45pt;z-index:251661312">
            <w10:wrap anchorx="page"/>
          </v:oval>
        </w:pict>
      </w:r>
      <w:r>
        <w:rPr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7.3pt;margin-top:193.8pt;width:92pt;height:97.7pt;z-index:251663360;mso-width-relative:margin;mso-height-relative:margin" stroked="f">
            <v:textbox style="mso-next-textbox:#_x0000_s1029">
              <w:txbxContent>
                <w:p w:rsidR="00D41A05" w:rsidRDefault="00D41A05" w:rsidP="00D41A05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B115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הוראה מתקנת ספציפית</w:t>
                  </w:r>
                </w:p>
                <w:p w:rsidR="00D41A05" w:rsidRDefault="00D41A05" w:rsidP="00D41A05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אנגלית </w:t>
                  </w:r>
                </w:p>
                <w:p w:rsidR="00D41A05" w:rsidRDefault="00D41A05" w:rsidP="00D41A05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שפה </w:t>
                  </w:r>
                </w:p>
                <w:p w:rsidR="00D41A05" w:rsidRDefault="00D41A05" w:rsidP="00D41A05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חשבון</w:t>
                  </w:r>
                </w:p>
                <w:p w:rsidR="00D41A05" w:rsidRPr="004B1156" w:rsidRDefault="00D41A05" w:rsidP="00D41A05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15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D41A05" w:rsidRDefault="00D41A05" w:rsidP="00D41A05"/>
              </w:txbxContent>
            </v:textbox>
          </v:shape>
        </w:pict>
      </w:r>
      <w:r>
        <w:rPr>
          <w:rFonts w:cs="David"/>
          <w:noProof/>
          <w:color w:val="000000" w:themeColor="text1"/>
          <w:sz w:val="32"/>
          <w:szCs w:val="32"/>
        </w:rPr>
        <w:pict>
          <v:oval id="_x0000_s1028" style="position:absolute;left:0;text-align:left;margin-left:109.7pt;margin-top:163.8pt;width:146.6pt;height:150.85pt;z-index:251662336">
            <w10:wrap anchorx="page"/>
          </v:oval>
        </w:pict>
      </w:r>
      <w:r w:rsidR="00D41A05">
        <w:rPr>
          <w:rFonts w:cs="David"/>
          <w:color w:val="000000" w:themeColor="text1"/>
          <w:sz w:val="32"/>
          <w:szCs w:val="32"/>
        </w:rPr>
        <w:t xml:space="preserve">       </w:t>
      </w:r>
      <w:r w:rsidR="00D41A05" w:rsidRPr="00D2722D">
        <w:rPr>
          <w:rFonts w:cs="David" w:hint="cs"/>
          <w:b/>
          <w:bCs/>
          <w:color w:val="000000" w:themeColor="text1"/>
          <w:sz w:val="32"/>
          <w:szCs w:val="32"/>
          <w:u w:val="single"/>
          <w:rtl/>
        </w:rPr>
        <w:t>אסטרטגיות בסיסיות</w:t>
      </w:r>
      <w:r>
        <w:rPr>
          <w:b/>
          <w:bCs/>
          <w:noProof/>
          <w:color w:val="000000" w:themeColor="text1"/>
          <w:sz w:val="32"/>
          <w:szCs w:val="32"/>
        </w:rPr>
        <w:pict>
          <v:shape id="_x0000_s1032" type="#_x0000_t202" style="position:absolute;left:0;text-align:left;margin-left:349.5pt;margin-top:212pt;width:93.9pt;height:54.5pt;z-index:251666432;mso-position-horizontal-relative:text;mso-position-vertical-relative:text" stroked="f">
            <v:textbox style="mso-next-textbox:#_x0000_s1032">
              <w:txbxContent>
                <w:p w:rsidR="00D41A05" w:rsidRDefault="00D41A05" w:rsidP="00D41A05">
                  <w:pPr>
                    <w:spacing w:after="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תפיסה וחשיבה</w:t>
                  </w:r>
                </w:p>
                <w:p w:rsidR="00D41A05" w:rsidRDefault="00D41A05" w:rsidP="00D41A05">
                  <w:pPr>
                    <w:spacing w:after="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(חשיבת על)</w:t>
                  </w:r>
                </w:p>
                <w:p w:rsidR="00D41A05" w:rsidRPr="00F03B74" w:rsidRDefault="00D41A05" w:rsidP="00D41A05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מטא קוגניציה </w:t>
                  </w:r>
                </w:p>
              </w:txbxContent>
            </v:textbox>
            <w10:wrap anchorx="page"/>
          </v:shape>
        </w:pict>
      </w:r>
      <w:r>
        <w:rPr>
          <w:rFonts w:cs="David"/>
          <w:b/>
          <w:bCs/>
          <w:noProof/>
          <w:color w:val="000000" w:themeColor="text1"/>
          <w:sz w:val="32"/>
          <w:szCs w:val="32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43.35pt;margin-top:212pt;width:58.85pt;height:28.8pt;z-index:251671552;mso-position-horizontal-relative:text;mso-position-vertical-relative:text">
            <w10:wrap anchorx="page"/>
          </v:shape>
        </w:pict>
      </w:r>
      <w:r>
        <w:rPr>
          <w:rFonts w:cs="David"/>
          <w:b/>
          <w:bCs/>
          <w:noProof/>
          <w:color w:val="000000" w:themeColor="text1"/>
          <w:sz w:val="32"/>
          <w:szCs w:val="32"/>
          <w:u w:val="single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4" type="#_x0000_t68" style="position:absolute;left:0;text-align:left;margin-left:171.7pt;margin-top:337.85pt;width:26.3pt;height:49.45pt;z-index:251668480;mso-position-horizontal-relative:text;mso-position-vertical-relative:text">
            <v:textbox style="layout-flow:vertical-ideographic"/>
            <w10:wrap anchorx="page"/>
          </v:shape>
        </w:pict>
      </w:r>
      <w:r>
        <w:rPr>
          <w:rFonts w:cs="David"/>
          <w:b/>
          <w:bCs/>
          <w:noProof/>
          <w:color w:val="000000" w:themeColor="text1"/>
          <w:sz w:val="32"/>
          <w:szCs w:val="32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175.45pt;margin-top:88.7pt;width:25.65pt;height:57.6pt;z-index:251670528;mso-position-horizontal-relative:text;mso-position-vertical-relative:text">
            <v:textbox style="layout-flow:vertical-ideographic"/>
            <w10:wrap anchorx="page"/>
          </v:shape>
        </w:pict>
      </w:r>
      <w:r>
        <w:rPr>
          <w:rFonts w:cs="David"/>
          <w:b/>
          <w:bCs/>
          <w:noProof/>
          <w:color w:val="000000" w:themeColor="text1"/>
          <w:sz w:val="32"/>
          <w:szCs w:val="32"/>
          <w:u w:val="single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left:0;text-align:left;margin-left:272.5pt;margin-top:221.4pt;width:56.35pt;height:28.2pt;z-index:251669504;mso-position-horizontal-relative:text;mso-position-vertical-relative:text">
            <w10:wrap anchorx="page"/>
          </v:shape>
        </w:pict>
      </w:r>
      <w:r>
        <w:rPr>
          <w:b/>
          <w:bCs/>
          <w:noProof/>
          <w:color w:val="000000" w:themeColor="text1"/>
          <w:sz w:val="32"/>
          <w:szCs w:val="32"/>
        </w:rPr>
        <w:pict>
          <v:shape id="_x0000_s1033" type="#_x0000_t202" style="position:absolute;left:0;text-align:left;margin-left:131.65pt;margin-top:403.6pt;width:97.65pt;height:26.95pt;z-index:251667456;mso-position-horizontal-relative:text;mso-position-vertical-relative:text" stroked="f">
            <v:textbox style="mso-next-textbox:#_x0000_s1033">
              <w:txbxContent>
                <w:p w:rsidR="00D41A05" w:rsidRPr="00F03B74" w:rsidRDefault="00D41A05" w:rsidP="00D41A0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03B7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קשב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והתנהלות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0000" w:themeColor="text1"/>
          <w:sz w:val="32"/>
          <w:szCs w:val="32"/>
        </w:rPr>
        <w:pict>
          <v:shape id="_x0000_s1030" type="#_x0000_t202" style="position:absolute;left:0;text-align:left;margin-left:154.15pt;margin-top:48pt;width:75.15pt;height:21.9pt;z-index:251664384;mso-position-horizontal-relative:text;mso-position-vertical-relative:text" stroked="f">
            <v:textbox style="mso-next-textbox:#_x0000_s1030">
              <w:txbxContent>
                <w:p w:rsidR="00D41A05" w:rsidRPr="004B1156" w:rsidRDefault="00D41A05" w:rsidP="00D41A0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15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מוטיבציה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0000" w:themeColor="text1"/>
          <w:sz w:val="32"/>
          <w:szCs w:val="32"/>
        </w:rPr>
        <w:pict>
          <v:shape id="_x0000_s1031" type="#_x0000_t202" style="position:absolute;left:0;text-align:left;margin-left:-33pt;margin-top:212pt;width:63.2pt;height:23.8pt;z-index:251665408;mso-position-horizontal-relative:text;mso-position-vertical-relative:text" stroked="f">
            <v:textbox style="mso-next-textbox:#_x0000_s1031">
              <w:txbxContent>
                <w:p w:rsidR="00D41A05" w:rsidRPr="004B1156" w:rsidRDefault="00D41A05" w:rsidP="00D41A0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15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זיכרון</w:t>
                  </w:r>
                </w:p>
              </w:txbxContent>
            </v:textbox>
            <w10:wrap anchorx="page"/>
          </v:shape>
        </w:pict>
      </w:r>
      <w:r>
        <w:rPr>
          <w:rFonts w:cs="David"/>
          <w:b/>
          <w:bCs/>
          <w:noProof/>
          <w:color w:val="000000" w:themeColor="text1"/>
          <w:sz w:val="32"/>
          <w:szCs w:val="32"/>
          <w:u w:val="single"/>
        </w:rPr>
        <w:pict>
          <v:shape id="_x0000_s1026" type="#_x0000_t202" style="position:absolute;left:0;text-align:left;margin-left:167.95pt;margin-top:206.4pt;width:113.95pt;height:63.2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D41A05" w:rsidRPr="004B1156" w:rsidRDefault="00D41A05" w:rsidP="00D41A05"/>
              </w:txbxContent>
            </v:textbox>
          </v:shape>
        </w:pict>
      </w:r>
    </w:p>
    <w:p w:rsidR="00D41A05" w:rsidRP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</w:p>
    <w:p w:rsidR="00D41A05" w:rsidRPr="00D41A05" w:rsidRDefault="00D41A05" w:rsidP="00D41A05">
      <w:pPr>
        <w:spacing w:after="0"/>
        <w:jc w:val="both"/>
        <w:rPr>
          <w:rFonts w:cs="David"/>
          <w:sz w:val="24"/>
          <w:szCs w:val="24"/>
          <w:u w:val="single"/>
          <w:rtl/>
        </w:rPr>
      </w:pPr>
      <w:r w:rsidRPr="00D41A05">
        <w:rPr>
          <w:rFonts w:cs="David" w:hint="cs"/>
          <w:sz w:val="24"/>
          <w:szCs w:val="24"/>
          <w:u w:val="single"/>
          <w:rtl/>
        </w:rPr>
        <w:t xml:space="preserve">מבוא להוראה מתקנת מודל  דר שביט </w:t>
      </w:r>
    </w:p>
    <w:p w:rsidR="00D41A05" w:rsidRPr="00D41A05" w:rsidRDefault="00D41A05" w:rsidP="00D41A05">
      <w:pPr>
        <w:spacing w:after="0"/>
        <w:jc w:val="both"/>
        <w:rPr>
          <w:rFonts w:cs="David"/>
          <w:sz w:val="24"/>
          <w:szCs w:val="24"/>
          <w:rtl/>
        </w:rPr>
      </w:pPr>
      <w:r w:rsidRPr="00D41A05">
        <w:rPr>
          <w:rFonts w:cs="David" w:hint="cs"/>
          <w:sz w:val="24"/>
          <w:szCs w:val="24"/>
          <w:rtl/>
        </w:rPr>
        <w:t>הקורס מהווה נתיב לבניית תהליך למודי המורכב משני תהליכים מקבילים:</w:t>
      </w:r>
    </w:p>
    <w:p w:rsidR="00D41A05" w:rsidRPr="00D41A05" w:rsidRDefault="00D41A05" w:rsidP="00D41A05">
      <w:pPr>
        <w:pStyle w:val="NormalWeb"/>
        <w:spacing w:after="0" w:afterAutospacing="0" w:line="276" w:lineRule="auto"/>
        <w:jc w:val="right"/>
        <w:rPr>
          <w:rFonts w:ascii="Arial" w:hAnsi="Arial" w:cs="David"/>
          <w:color w:val="000000" w:themeColor="text1"/>
        </w:rPr>
      </w:pPr>
      <w:r w:rsidRPr="00D41A05">
        <w:rPr>
          <w:rFonts w:cs="David" w:hint="cs"/>
          <w:color w:val="000000" w:themeColor="text1"/>
          <w:rtl/>
        </w:rPr>
        <w:t xml:space="preserve">האחד : </w:t>
      </w:r>
      <w:r w:rsidRPr="00585282">
        <w:rPr>
          <w:rFonts w:cs="David" w:hint="cs"/>
          <w:b/>
          <w:bCs/>
          <w:color w:val="000000" w:themeColor="text1"/>
          <w:rtl/>
        </w:rPr>
        <w:t xml:space="preserve">אסטרטגיות למידה </w:t>
      </w:r>
      <w:r w:rsidRPr="00D41A05">
        <w:rPr>
          <w:rFonts w:cs="David" w:hint="cs"/>
          <w:color w:val="000000" w:themeColor="text1"/>
          <w:rtl/>
        </w:rPr>
        <w:t>-</w:t>
      </w:r>
      <w:r w:rsidRPr="00D41A05">
        <w:rPr>
          <w:rFonts w:ascii="Arial" w:hAnsi="Arial" w:cs="David"/>
          <w:color w:val="000000" w:themeColor="text1"/>
          <w:rtl/>
        </w:rPr>
        <w:t xml:space="preserve"> </w:t>
      </w:r>
      <w:r w:rsidRPr="00D41A05">
        <w:rPr>
          <w:rFonts w:ascii="Arial" w:hAnsi="Arial" w:cs="David" w:hint="cs"/>
          <w:color w:val="000000" w:themeColor="text1"/>
          <w:rtl/>
        </w:rPr>
        <w:t>א</w:t>
      </w:r>
      <w:r w:rsidRPr="00D41A05">
        <w:rPr>
          <w:rFonts w:ascii="Arial" w:hAnsi="Arial" w:cs="David"/>
          <w:color w:val="000000" w:themeColor="text1"/>
          <w:rtl/>
        </w:rPr>
        <w:t>סטרטגיה היא הרכב של מיומנויות המכוונות למטרה מסוימת. אסטרטגיות למידה קשורות לאספקטים הקוגניטיביים ולפיתוח המודעות המטה-קוגניטיבית של התלמיד</w:t>
      </w:r>
      <w:r w:rsidRPr="00D41A05">
        <w:rPr>
          <w:rFonts w:ascii="Arial" w:hAnsi="Arial" w:cs="David"/>
          <w:color w:val="000000" w:themeColor="text1"/>
        </w:rPr>
        <w:t>.</w:t>
      </w:r>
    </w:p>
    <w:p w:rsidR="00D41A05" w:rsidRPr="00D41A05" w:rsidRDefault="00D41A05" w:rsidP="00D41A05">
      <w:pPr>
        <w:pStyle w:val="NormalWeb"/>
        <w:spacing w:after="0" w:afterAutospacing="0" w:line="276" w:lineRule="auto"/>
        <w:jc w:val="right"/>
        <w:rPr>
          <w:rFonts w:ascii="Arial" w:hAnsi="Arial" w:cs="David"/>
          <w:color w:val="000000" w:themeColor="text1"/>
        </w:rPr>
      </w:pPr>
      <w:r w:rsidRPr="00D41A05">
        <w:rPr>
          <w:rFonts w:ascii="Arial" w:hAnsi="Arial" w:cs="David" w:hint="cs"/>
          <w:color w:val="000000" w:themeColor="text1"/>
          <w:rtl/>
        </w:rPr>
        <w:t>(1988</w:t>
      </w:r>
      <w:r w:rsidR="00585282">
        <w:rPr>
          <w:rFonts w:ascii="Arial" w:hAnsi="Arial" w:cs="David" w:hint="cs"/>
          <w:color w:val="000000" w:themeColor="text1"/>
          <w:rtl/>
        </w:rPr>
        <w:t xml:space="preserve">דרי </w:t>
      </w:r>
      <w:r w:rsidRPr="00D41A05">
        <w:rPr>
          <w:rFonts w:ascii="Arial" w:hAnsi="Arial" w:cs="David" w:hint="cs"/>
          <w:color w:val="000000" w:themeColor="text1"/>
          <w:rtl/>
        </w:rPr>
        <w:t xml:space="preserve">) </w:t>
      </w:r>
      <w:r w:rsidRPr="00D41A05">
        <w:rPr>
          <w:rFonts w:ascii="Arial" w:hAnsi="Arial" w:cs="David"/>
          <w:color w:val="000000" w:themeColor="text1"/>
          <w:rtl/>
        </w:rPr>
        <w:t>מגדיר אסטרטגיות למידה – כ "התוכנית שאדם מבצע להשגת מטרה לימודית. אסטרטגית למידה היא תוכנית שלמה הכוללת בתוכה טקטיקות וטכניקות ספציפיות. האסטרטגיה שבה בחר הלומד מכתיבה לו את הטקטיקות שבהן ישתמש</w:t>
      </w:r>
      <w:r w:rsidRPr="00D41A05">
        <w:rPr>
          <w:rFonts w:ascii="Arial" w:hAnsi="Arial" w:cs="David"/>
          <w:color w:val="000000" w:themeColor="text1"/>
        </w:rPr>
        <w:t>."</w:t>
      </w:r>
    </w:p>
    <w:p w:rsidR="00D41A05" w:rsidRPr="00D41A05" w:rsidRDefault="00D41A05" w:rsidP="00D41A05">
      <w:pPr>
        <w:pStyle w:val="NormalWeb"/>
        <w:spacing w:after="0" w:afterAutospacing="0" w:line="276" w:lineRule="auto"/>
        <w:jc w:val="right"/>
        <w:rPr>
          <w:rFonts w:ascii="Arial" w:hAnsi="Arial" w:cs="David"/>
          <w:color w:val="000000" w:themeColor="text1"/>
        </w:rPr>
      </w:pPr>
      <w:proofErr w:type="spellStart"/>
      <w:r w:rsidRPr="00D41A05">
        <w:rPr>
          <w:rFonts w:ascii="Arial" w:hAnsi="Arial" w:cs="David"/>
          <w:color w:val="000000" w:themeColor="text1"/>
          <w:rtl/>
        </w:rPr>
        <w:t>ויינשטיין</w:t>
      </w:r>
      <w:proofErr w:type="spellEnd"/>
      <w:r w:rsidRPr="00D41A05">
        <w:rPr>
          <w:rFonts w:ascii="Arial" w:hAnsi="Arial" w:cs="David"/>
          <w:color w:val="000000" w:themeColor="text1"/>
          <w:rtl/>
        </w:rPr>
        <w:t xml:space="preserve"> (1988) מגדירה אסטרטגיות למידה כ"תהליכי חשיבה ומיומנויות התנהגות לימודיות אשר מופעלות ע"י הלומד במגמה להגביר את יעילות למידתו ולבסס את שליטתו והתמחותו בידע הנלמד</w:t>
      </w:r>
      <w:r w:rsidRPr="00D41A05">
        <w:rPr>
          <w:rFonts w:ascii="Arial" w:hAnsi="Arial" w:cs="David"/>
          <w:color w:val="000000" w:themeColor="text1"/>
        </w:rPr>
        <w:t>".</w:t>
      </w:r>
    </w:p>
    <w:p w:rsidR="00585282" w:rsidRDefault="00D41A05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 </w:t>
      </w:r>
    </w:p>
    <w:p w:rsidR="00D41A05" w:rsidRPr="00D41A05" w:rsidRDefault="00D41A05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  <w:r w:rsidRPr="00D41A05">
        <w:rPr>
          <w:rFonts w:cs="David" w:hint="cs"/>
          <w:color w:val="000000" w:themeColor="text1"/>
          <w:sz w:val="24"/>
          <w:szCs w:val="24"/>
          <w:rtl/>
        </w:rPr>
        <w:t>מאפייני ההגדרה דר שביט  :</w:t>
      </w:r>
    </w:p>
    <w:p w:rsidR="00D41A05" w:rsidRPr="00D41A05" w:rsidRDefault="00585282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  <w:r>
        <w:rPr>
          <w:rFonts w:cs="David" w:hint="cs"/>
          <w:color w:val="000000" w:themeColor="text1"/>
          <w:sz w:val="24"/>
          <w:szCs w:val="24"/>
          <w:rtl/>
        </w:rPr>
        <w:t xml:space="preserve">עבודה </w:t>
      </w:r>
      <w:r w:rsidR="00D41A05" w:rsidRPr="00D41A05">
        <w:rPr>
          <w:rFonts w:cs="David" w:hint="cs"/>
          <w:color w:val="000000" w:themeColor="text1"/>
          <w:sz w:val="24"/>
          <w:szCs w:val="24"/>
          <w:rtl/>
        </w:rPr>
        <w:t xml:space="preserve">שיטתית </w:t>
      </w:r>
    </w:p>
    <w:p w:rsidR="00D41A05" w:rsidRDefault="00D41A05" w:rsidP="00585282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תהליכית </w:t>
      </w:r>
    </w:p>
    <w:p w:rsidR="00585282" w:rsidRPr="00D41A05" w:rsidRDefault="00585282" w:rsidP="00585282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  <w:r>
        <w:rPr>
          <w:rFonts w:cs="David" w:hint="cs"/>
          <w:color w:val="000000" w:themeColor="text1"/>
          <w:sz w:val="24"/>
          <w:szCs w:val="24"/>
          <w:rtl/>
        </w:rPr>
        <w:t xml:space="preserve">מחזורית </w:t>
      </w:r>
    </w:p>
    <w:p w:rsidR="00D41A05" w:rsidRPr="00D41A05" w:rsidRDefault="00D41A05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כוללנית  </w:t>
      </w:r>
      <w:r w:rsidRPr="00D41A05">
        <w:rPr>
          <w:rFonts w:cs="David"/>
          <w:color w:val="000000" w:themeColor="text1"/>
          <w:sz w:val="24"/>
          <w:szCs w:val="24"/>
          <w:rtl/>
        </w:rPr>
        <w:t>–</w:t>
      </w: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 הוליסטיות </w:t>
      </w:r>
    </w:p>
    <w:p w:rsidR="00D41A05" w:rsidRPr="00D41A05" w:rsidRDefault="00D41A05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אוניברסאלית  לכל אדם בכל גיל בכל מקצוע </w:t>
      </w:r>
    </w:p>
    <w:p w:rsidR="00D41A05" w:rsidRPr="00D41A05" w:rsidRDefault="00D41A05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</w:p>
    <w:p w:rsidR="00D41A05" w:rsidRPr="00D41A05" w:rsidRDefault="00D41A05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הוראה   מתקנת </w:t>
      </w:r>
      <w:r w:rsidRPr="00D41A05">
        <w:rPr>
          <w:rFonts w:cs="David"/>
          <w:color w:val="000000" w:themeColor="text1"/>
          <w:sz w:val="24"/>
          <w:szCs w:val="24"/>
          <w:rtl/>
        </w:rPr>
        <w:t>–</w:t>
      </w: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 ע"פ המודל הנ</w:t>
      </w:r>
      <w:r>
        <w:rPr>
          <w:rFonts w:cs="David" w:hint="cs"/>
          <w:color w:val="000000" w:themeColor="text1"/>
          <w:sz w:val="24"/>
          <w:szCs w:val="24"/>
          <w:rtl/>
        </w:rPr>
        <w:t>"</w:t>
      </w: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ל ההוראה המתקנת הינה המעגל הפנימי בו מתקיימת הוראה ספציפית לחיזוק מיומנות </w:t>
      </w:r>
      <w:proofErr w:type="spellStart"/>
      <w:r w:rsidRPr="00D41A05">
        <w:rPr>
          <w:rFonts w:cs="David" w:hint="cs"/>
          <w:color w:val="000000" w:themeColor="text1"/>
          <w:sz w:val="24"/>
          <w:szCs w:val="24"/>
          <w:rtl/>
        </w:rPr>
        <w:t>בדיספלינות</w:t>
      </w:r>
      <w:proofErr w:type="spellEnd"/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 העולות מהשטח: הוראה מתקנת בשפה, בקריאה במתמטיקה או מקצועות רבי מלל. </w:t>
      </w:r>
    </w:p>
    <w:p w:rsidR="00D41A05" w:rsidRPr="00D41A05" w:rsidRDefault="00D41A05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ניתן להבין זאת </w:t>
      </w:r>
      <w:r w:rsidRPr="00585282">
        <w:rPr>
          <w:rFonts w:cs="David" w:hint="cs"/>
          <w:b/>
          <w:bCs/>
          <w:color w:val="000000" w:themeColor="text1"/>
          <w:sz w:val="24"/>
          <w:szCs w:val="24"/>
          <w:rtl/>
        </w:rPr>
        <w:t>באנלוגיה רפואית</w:t>
      </w: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 של שורש הבעיה וטפול </w:t>
      </w:r>
      <w:r w:rsidRPr="00585282">
        <w:rPr>
          <w:rFonts w:cs="David" w:hint="cs"/>
          <w:b/>
          <w:bCs/>
          <w:color w:val="000000" w:themeColor="text1"/>
          <w:sz w:val="24"/>
          <w:szCs w:val="24"/>
          <w:rtl/>
        </w:rPr>
        <w:t>בסימפטום</w:t>
      </w:r>
    </w:p>
    <w:p w:rsidR="00D41A05" w:rsidRPr="00D41A05" w:rsidRDefault="00D41A05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שורש הבעיה הינה : לקות תפיסה, לקות חשיבה, לקות קשב , לקות זיכרון , לקות מוטורית </w:t>
      </w:r>
    </w:p>
    <w:p w:rsidR="00D41A05" w:rsidRPr="00D41A05" w:rsidRDefault="00D41A05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  <w:r w:rsidRPr="00585282">
        <w:rPr>
          <w:rFonts w:cs="David" w:hint="cs"/>
          <w:b/>
          <w:bCs/>
          <w:color w:val="000000" w:themeColor="text1"/>
          <w:sz w:val="24"/>
          <w:szCs w:val="24"/>
          <w:rtl/>
        </w:rPr>
        <w:t>סימפטום</w:t>
      </w: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 </w:t>
      </w:r>
      <w:r w:rsidRPr="00D41A05">
        <w:rPr>
          <w:rFonts w:cs="David"/>
          <w:color w:val="000000" w:themeColor="text1"/>
          <w:sz w:val="24"/>
          <w:szCs w:val="24"/>
          <w:rtl/>
        </w:rPr>
        <w:t>–</w:t>
      </w: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 דיסלקציה, דיסקלקוליה, דיסגרפיה </w:t>
      </w:r>
    </w:p>
    <w:p w:rsidR="00D41A05" w:rsidRPr="00D41A05" w:rsidRDefault="00D41A05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  <w:r w:rsidRPr="00585282">
        <w:rPr>
          <w:rFonts w:cs="David" w:hint="cs"/>
          <w:b/>
          <w:bCs/>
          <w:color w:val="000000" w:themeColor="text1"/>
          <w:sz w:val="24"/>
          <w:szCs w:val="24"/>
          <w:rtl/>
        </w:rPr>
        <w:t>טפול</w:t>
      </w: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 </w:t>
      </w:r>
      <w:r w:rsidRPr="00D41A05">
        <w:rPr>
          <w:rFonts w:cs="David"/>
          <w:color w:val="000000" w:themeColor="text1"/>
          <w:sz w:val="24"/>
          <w:szCs w:val="24"/>
          <w:rtl/>
        </w:rPr>
        <w:t>–</w:t>
      </w: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 מזוג בין הבנת מקור הלקות ושיטות ייחודיות לטפול על ידי הוראה מתקנת ספציפית</w:t>
      </w:r>
    </w:p>
    <w:p w:rsidR="00D41A05" w:rsidRPr="00585282" w:rsidRDefault="00D41A05" w:rsidP="00D41A05">
      <w:pPr>
        <w:spacing w:after="0"/>
        <w:jc w:val="both"/>
        <w:rPr>
          <w:rFonts w:cs="David"/>
          <w:b/>
          <w:bCs/>
          <w:color w:val="000000" w:themeColor="text1"/>
          <w:sz w:val="24"/>
          <w:szCs w:val="24"/>
          <w:rtl/>
        </w:rPr>
      </w:pPr>
    </w:p>
    <w:p w:rsidR="00585282" w:rsidRDefault="00D41A05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  <w:r w:rsidRPr="00585282">
        <w:rPr>
          <w:rFonts w:cs="David" w:hint="cs"/>
          <w:b/>
          <w:bCs/>
          <w:color w:val="000000" w:themeColor="text1"/>
          <w:sz w:val="24"/>
          <w:szCs w:val="24"/>
          <w:rtl/>
        </w:rPr>
        <w:t>דרך הלמידה</w:t>
      </w: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 : </w:t>
      </w:r>
    </w:p>
    <w:p w:rsidR="00D41A05" w:rsidRPr="00D41A05" w:rsidRDefault="00D41A05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  <w:r w:rsidRPr="00D41A05">
        <w:rPr>
          <w:rFonts w:cs="David" w:hint="cs"/>
          <w:color w:val="000000" w:themeColor="text1"/>
          <w:sz w:val="24"/>
          <w:szCs w:val="24"/>
          <w:rtl/>
        </w:rPr>
        <w:t>התנסות בקושי</w:t>
      </w:r>
    </w:p>
    <w:p w:rsidR="00D41A05" w:rsidRPr="00D41A05" w:rsidRDefault="00D41A05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הבנת הכלי </w:t>
      </w:r>
    </w:p>
    <w:p w:rsidR="00D41A05" w:rsidRPr="00D41A05" w:rsidRDefault="00D41A05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ניתוח הלקות הספציפית </w:t>
      </w:r>
    </w:p>
    <w:p w:rsidR="00D41A05" w:rsidRDefault="00D41A05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שיטות טפול באמצעות הוראה מתקנת  </w:t>
      </w:r>
    </w:p>
    <w:p w:rsidR="00585282" w:rsidRPr="00D41A05" w:rsidRDefault="00585282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  <w:r>
        <w:rPr>
          <w:rFonts w:cs="David" w:hint="cs"/>
          <w:color w:val="000000" w:themeColor="text1"/>
          <w:sz w:val="24"/>
          <w:szCs w:val="24"/>
          <w:rtl/>
        </w:rPr>
        <w:t xml:space="preserve">אסטרטגיה מרכזית להתחלה :ה  פ  נ  ס  </w:t>
      </w:r>
      <w:proofErr w:type="spellStart"/>
      <w:r>
        <w:rPr>
          <w:rFonts w:cs="David" w:hint="cs"/>
          <w:color w:val="000000" w:themeColor="text1"/>
          <w:sz w:val="24"/>
          <w:szCs w:val="24"/>
          <w:rtl/>
        </w:rPr>
        <w:t>המללה</w:t>
      </w:r>
      <w:proofErr w:type="spellEnd"/>
      <w:r>
        <w:rPr>
          <w:rFonts w:cs="David" w:hint="cs"/>
          <w:color w:val="000000" w:themeColor="text1"/>
          <w:sz w:val="24"/>
          <w:szCs w:val="24"/>
          <w:rtl/>
        </w:rPr>
        <w:t xml:space="preserve">, פתיחה, נלמד, סיום </w:t>
      </w:r>
    </w:p>
    <w:p w:rsidR="00585282" w:rsidRDefault="00585282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</w:p>
    <w:p w:rsidR="00585282" w:rsidRDefault="00585282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</w:p>
    <w:p w:rsidR="00D41A05" w:rsidRPr="00D41A05" w:rsidRDefault="00D41A05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סילבוס- יעודכן בהמשך </w:t>
      </w:r>
    </w:p>
    <w:p w:rsidR="00D41A05" w:rsidRPr="00D41A05" w:rsidRDefault="00D41A05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</w:p>
    <w:p w:rsidR="00D41A05" w:rsidRPr="00D41A05" w:rsidRDefault="00D41A05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ארגון הידע בקורס </w:t>
      </w:r>
      <w:r w:rsidRPr="00D41A05">
        <w:rPr>
          <w:rFonts w:cs="David"/>
          <w:color w:val="000000" w:themeColor="text1"/>
          <w:sz w:val="24"/>
          <w:szCs w:val="24"/>
          <w:rtl/>
        </w:rPr>
        <w:t>–</w:t>
      </w: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 רצוי לעקוב בכל שעור על ניתוח ההתנסות </w:t>
      </w:r>
    </w:p>
    <w:p w:rsidR="00D41A05" w:rsidRPr="00D41A05" w:rsidRDefault="00D41A05" w:rsidP="00D41A05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  <w:r w:rsidRPr="00D41A05">
        <w:rPr>
          <w:rFonts w:cs="David" w:hint="cs"/>
          <w:color w:val="000000" w:themeColor="text1"/>
          <w:sz w:val="24"/>
          <w:szCs w:val="24"/>
          <w:rtl/>
        </w:rPr>
        <w:t>חומרי עזר- חוברת אסטרטגיות וספר הדרכה ד</w:t>
      </w:r>
      <w:r w:rsidR="00585282">
        <w:rPr>
          <w:rFonts w:cs="David" w:hint="cs"/>
          <w:color w:val="000000" w:themeColor="text1"/>
          <w:sz w:val="24"/>
          <w:szCs w:val="24"/>
          <w:rtl/>
        </w:rPr>
        <w:t>"</w:t>
      </w:r>
      <w:r w:rsidRPr="00D41A05">
        <w:rPr>
          <w:rFonts w:cs="David" w:hint="cs"/>
          <w:color w:val="000000" w:themeColor="text1"/>
          <w:sz w:val="24"/>
          <w:szCs w:val="24"/>
          <w:rtl/>
        </w:rPr>
        <w:t>ר שביט</w:t>
      </w:r>
    </w:p>
    <w:p w:rsidR="00D41A05" w:rsidRPr="00D41A05" w:rsidRDefault="00585282" w:rsidP="00585282">
      <w:pPr>
        <w:spacing w:after="0"/>
        <w:jc w:val="both"/>
        <w:rPr>
          <w:rFonts w:cs="David"/>
          <w:color w:val="000000" w:themeColor="text1"/>
          <w:sz w:val="24"/>
          <w:szCs w:val="24"/>
          <w:rtl/>
        </w:rPr>
      </w:pPr>
      <w:r>
        <w:rPr>
          <w:rFonts w:cs="David" w:hint="cs"/>
          <w:color w:val="000000" w:themeColor="text1"/>
          <w:sz w:val="24"/>
          <w:szCs w:val="24"/>
          <w:rtl/>
        </w:rPr>
        <w:t>צוות דפנה מן- טפול רגשי,</w:t>
      </w:r>
      <w:r w:rsidR="00D41A05" w:rsidRPr="00D41A05">
        <w:rPr>
          <w:rFonts w:cs="David" w:hint="cs"/>
          <w:color w:val="000000" w:themeColor="text1"/>
          <w:sz w:val="24"/>
          <w:szCs w:val="24"/>
          <w:rtl/>
        </w:rPr>
        <w:t xml:space="preserve"> אתי </w:t>
      </w:r>
      <w:r>
        <w:rPr>
          <w:rFonts w:cs="David" w:hint="cs"/>
          <w:color w:val="000000" w:themeColor="text1"/>
          <w:sz w:val="24"/>
          <w:szCs w:val="24"/>
          <w:rtl/>
        </w:rPr>
        <w:t>ווינברג,</w:t>
      </w:r>
      <w:r>
        <w:rPr>
          <w:rFonts w:cs="David"/>
          <w:color w:val="000000" w:themeColor="text1"/>
          <w:sz w:val="24"/>
          <w:szCs w:val="24"/>
        </w:rPr>
        <w:t>ma</w:t>
      </w:r>
      <w:r>
        <w:rPr>
          <w:rFonts w:cs="David" w:hint="cs"/>
          <w:color w:val="000000" w:themeColor="text1"/>
          <w:sz w:val="24"/>
          <w:szCs w:val="24"/>
          <w:rtl/>
        </w:rPr>
        <w:t xml:space="preserve">לקות למידה , </w:t>
      </w:r>
      <w:r w:rsidR="00D41A05" w:rsidRPr="00D41A05">
        <w:rPr>
          <w:rFonts w:cs="David" w:hint="cs"/>
          <w:color w:val="000000" w:themeColor="text1"/>
          <w:sz w:val="24"/>
          <w:szCs w:val="24"/>
          <w:rtl/>
        </w:rPr>
        <w:t xml:space="preserve"> תקווה מסיקה מדריכת קריאה, ומרצים אורחים.</w:t>
      </w:r>
    </w:p>
    <w:p w:rsidR="000D2A1E" w:rsidRPr="00D41A05" w:rsidRDefault="00D41A05" w:rsidP="00585282">
      <w:pPr>
        <w:spacing w:after="0"/>
        <w:jc w:val="both"/>
        <w:rPr>
          <w:rFonts w:cs="David"/>
          <w:color w:val="000000" w:themeColor="text1"/>
        </w:rPr>
      </w:pP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עבודה מעשית </w:t>
      </w:r>
      <w:r w:rsidRPr="00D41A05">
        <w:rPr>
          <w:rFonts w:cs="David"/>
          <w:color w:val="000000" w:themeColor="text1"/>
          <w:sz w:val="24"/>
          <w:szCs w:val="24"/>
          <w:rtl/>
        </w:rPr>
        <w:t>–</w:t>
      </w:r>
      <w:r w:rsidRPr="00D41A05">
        <w:rPr>
          <w:rFonts w:cs="David" w:hint="cs"/>
          <w:color w:val="000000" w:themeColor="text1"/>
          <w:sz w:val="24"/>
          <w:szCs w:val="24"/>
          <w:rtl/>
        </w:rPr>
        <w:t xml:space="preserve"> התנסות ב</w:t>
      </w:r>
      <w:r w:rsidR="00585282">
        <w:rPr>
          <w:rFonts w:cs="David" w:hint="cs"/>
          <w:color w:val="000000" w:themeColor="text1"/>
          <w:sz w:val="24"/>
          <w:szCs w:val="24"/>
          <w:rtl/>
        </w:rPr>
        <w:t>2</w:t>
      </w:r>
      <w:r w:rsidRPr="00D41A05">
        <w:rPr>
          <w:rFonts w:cs="David" w:hint="cs"/>
          <w:color w:val="000000" w:themeColor="text1"/>
          <w:sz w:val="24"/>
          <w:szCs w:val="24"/>
          <w:rtl/>
        </w:rPr>
        <w:t>0 שעות התנסות , תיעוד  עשרה מהשעורים תוך כדי שימוש במושגים.</w:t>
      </w:r>
    </w:p>
    <w:sectPr w:rsidR="000D2A1E" w:rsidRPr="00D41A05" w:rsidSect="00380E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1A05"/>
    <w:rsid w:val="000D2A1E"/>
    <w:rsid w:val="000F44AC"/>
    <w:rsid w:val="001C206D"/>
    <w:rsid w:val="00241345"/>
    <w:rsid w:val="00380E72"/>
    <w:rsid w:val="004452C1"/>
    <w:rsid w:val="00585282"/>
    <w:rsid w:val="0067737E"/>
    <w:rsid w:val="006D225A"/>
    <w:rsid w:val="00AF36EA"/>
    <w:rsid w:val="00B802A1"/>
    <w:rsid w:val="00C83F4D"/>
    <w:rsid w:val="00D41A05"/>
    <w:rsid w:val="00E02A24"/>
    <w:rsid w:val="00E06799"/>
    <w:rsid w:val="00F7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E8137C40-869C-4DFE-969D-E81DB62C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D41A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shahaf1808@gmail.com</cp:lastModifiedBy>
  <cp:revision>2</cp:revision>
  <dcterms:created xsi:type="dcterms:W3CDTF">2018-03-12T10:14:00Z</dcterms:created>
  <dcterms:modified xsi:type="dcterms:W3CDTF">2018-03-12T10:14:00Z</dcterms:modified>
</cp:coreProperties>
</file>